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56F" w:rsidRDefault="008B556F" w:rsidP="006E2E2E">
      <w:pPr>
        <w:spacing w:line="480" w:lineRule="auto"/>
        <w:jc w:val="center"/>
      </w:pPr>
    </w:p>
    <w:p w:rsidR="008B556F" w:rsidRDefault="008B556F" w:rsidP="006E2E2E">
      <w:pPr>
        <w:spacing w:line="480" w:lineRule="auto"/>
        <w:jc w:val="center"/>
      </w:pPr>
    </w:p>
    <w:p w:rsidR="008B556F" w:rsidRDefault="008B556F" w:rsidP="006E2E2E">
      <w:pPr>
        <w:spacing w:line="480" w:lineRule="auto"/>
        <w:jc w:val="center"/>
      </w:pPr>
    </w:p>
    <w:p w:rsidR="008B556F" w:rsidRDefault="008B556F" w:rsidP="006E2E2E">
      <w:pPr>
        <w:spacing w:line="480" w:lineRule="auto"/>
        <w:jc w:val="center"/>
      </w:pPr>
      <w:r>
        <w:t>The Less Achieved American Dream</w:t>
      </w:r>
    </w:p>
    <w:p w:rsidR="008B556F" w:rsidRDefault="008B556F" w:rsidP="006E2E2E">
      <w:pPr>
        <w:spacing w:line="480" w:lineRule="auto"/>
        <w:jc w:val="center"/>
      </w:pPr>
      <w:r>
        <w:t>Chandreyee Johnson</w:t>
      </w:r>
    </w:p>
    <w:p w:rsidR="008B556F" w:rsidRDefault="008B556F" w:rsidP="006E2E2E">
      <w:pPr>
        <w:spacing w:line="480" w:lineRule="auto"/>
        <w:jc w:val="center"/>
      </w:pPr>
      <w:r>
        <w:t>BSHS/345</w:t>
      </w:r>
    </w:p>
    <w:p w:rsidR="008B556F" w:rsidRDefault="008B556F" w:rsidP="006E2E2E">
      <w:pPr>
        <w:spacing w:line="480" w:lineRule="auto"/>
        <w:jc w:val="center"/>
      </w:pPr>
      <w:r>
        <w:t>November 24, 2015</w:t>
      </w:r>
    </w:p>
    <w:p w:rsidR="008B556F" w:rsidRDefault="008B556F" w:rsidP="006E2E2E">
      <w:pPr>
        <w:spacing w:line="480" w:lineRule="auto"/>
        <w:jc w:val="center"/>
      </w:pPr>
      <w:r>
        <w:t>Seanee Alexander</w:t>
      </w:r>
    </w:p>
    <w:p w:rsidR="008B556F" w:rsidRDefault="008B556F">
      <w:pPr>
        <w:spacing w:after="200" w:line="276" w:lineRule="auto"/>
      </w:pPr>
      <w:r>
        <w:br w:type="page"/>
      </w:r>
    </w:p>
    <w:p w:rsidR="00B23FCE" w:rsidRDefault="00A067C8" w:rsidP="006E2E2E">
      <w:pPr>
        <w:spacing w:line="480" w:lineRule="auto"/>
        <w:jc w:val="center"/>
      </w:pPr>
      <w:r>
        <w:lastRenderedPageBreak/>
        <w:t>The Less Achieved American Dream</w:t>
      </w:r>
    </w:p>
    <w:p w:rsidR="00A92BA7" w:rsidRDefault="00A92BA7" w:rsidP="006E2E2E">
      <w:pPr>
        <w:spacing w:line="480" w:lineRule="auto"/>
      </w:pPr>
      <w:r>
        <w:tab/>
      </w:r>
      <w:r w:rsidR="00B23FCE">
        <w:t xml:space="preserve">Living the "American Dream" in the United States has always been a central goal of the US culture. The path to such success an individual may be faced with; however, is littered with the aches and pains of middle and lower class challenges and realities. Attempts to achieve "The Dream" must be met with </w:t>
      </w:r>
      <w:r>
        <w:t>methods</w:t>
      </w:r>
      <w:r w:rsidR="00B23FCE">
        <w:t xml:space="preserve"> to combat criteria such as overcoming generational poverty, disrupting challenges to the elderly who face unemployment, and defying </w:t>
      </w:r>
      <w:r w:rsidR="00537C31">
        <w:t>women-</w:t>
      </w:r>
      <w:r w:rsidR="00B23FCE">
        <w:t xml:space="preserve">specific challenges through the life cycle.  </w:t>
      </w:r>
      <w:r w:rsidR="003E2872">
        <w:t xml:space="preserve">If given the correct tools to combat such challenges, the American Dream may become less of a sky high aspiration and more of a realistic pursuit. </w:t>
      </w:r>
    </w:p>
    <w:p w:rsidR="007B74EC" w:rsidRPr="007B74EC" w:rsidRDefault="007B74EC" w:rsidP="006E2E2E">
      <w:pPr>
        <w:spacing w:line="480" w:lineRule="auto"/>
        <w:rPr>
          <w:b/>
        </w:rPr>
      </w:pPr>
      <w:r>
        <w:rPr>
          <w:b/>
        </w:rPr>
        <w:t>The Poverty Crisis</w:t>
      </w:r>
    </w:p>
    <w:p w:rsidR="00C01955" w:rsidRDefault="00357E9D" w:rsidP="006E2E2E">
      <w:pPr>
        <w:spacing w:line="480" w:lineRule="auto"/>
      </w:pPr>
      <w:r>
        <w:tab/>
        <w:t xml:space="preserve">It is commonly said that the United States is one of </w:t>
      </w:r>
      <w:proofErr w:type="gramStart"/>
      <w:r>
        <w:t>the  wealthiest</w:t>
      </w:r>
      <w:proofErr w:type="gramEnd"/>
      <w:r>
        <w:t xml:space="preserve"> countries in the world. This socially regurgitated statement can even be slightly backed with the </w:t>
      </w:r>
      <w:r w:rsidR="005A33C5">
        <w:t xml:space="preserve">way in which our country lives. </w:t>
      </w:r>
      <w:r w:rsidR="00F56813">
        <w:t>For example, t</w:t>
      </w:r>
      <w:r w:rsidR="005A33C5">
        <w:t xml:space="preserve">he homeless here in the United States still tend to see far better circumstances than that of third world countries, though in some cases, not by much difference. </w:t>
      </w:r>
      <w:r w:rsidR="007B74EC">
        <w:t xml:space="preserve">Despite how much "better off" our country is in comparison to others, we still face very real complications when it comes to achieving the American Dream. </w:t>
      </w:r>
    </w:p>
    <w:p w:rsidR="005B710C" w:rsidRDefault="0059574D" w:rsidP="006E2E2E">
      <w:pPr>
        <w:spacing w:line="480" w:lineRule="auto"/>
      </w:pPr>
      <w:r>
        <w:tab/>
        <w:t xml:space="preserve">According to Zastrow &amp; Kirst-Ashman (2010), </w:t>
      </w:r>
      <w:r w:rsidR="0059498B">
        <w:t xml:space="preserve">the wealthiest 20% of the population accounts for almost 50% of all earned income, while the poorest 20% account for less than 5% of all earned income in the United States. </w:t>
      </w:r>
      <w:r w:rsidR="005B710C">
        <w:t xml:space="preserve">This figure alone demonstrates the financial strain that is left on the bottom 20% of the United States population. For that 20% of the population, most of the recipients have been born into their family bracket of earnings and will likely be condemned to those same earnings; thus known as generational poverty. </w:t>
      </w:r>
    </w:p>
    <w:p w:rsidR="007B74EC" w:rsidRDefault="00A067C8" w:rsidP="006E2E2E">
      <w:pPr>
        <w:spacing w:line="480" w:lineRule="auto"/>
      </w:pPr>
      <w:r>
        <w:tab/>
      </w:r>
      <w:r w:rsidR="007F69BE">
        <w:t xml:space="preserve">The greatest challenge for most Americans is likely the ability to overcome </w:t>
      </w:r>
      <w:r>
        <w:t xml:space="preserve">their generational income patterns. </w:t>
      </w:r>
      <w:r w:rsidR="00497705">
        <w:t xml:space="preserve">This struggle is seen far more challenging for those who face </w:t>
      </w:r>
      <w:r w:rsidR="00497705">
        <w:lastRenderedPageBreak/>
        <w:t xml:space="preserve">poverty and low income status. </w:t>
      </w:r>
      <w:r w:rsidR="00F00279">
        <w:t>Perhaps the greatest notion is that the experience of poverty is relative (Payne, 1996). In other words, for a community stricken with poverty, or any lower income status for that matter, amongst themselves, they are likely to be unaware of just how low their income is on a national level.</w:t>
      </w:r>
      <w:r w:rsidR="0051208B">
        <w:t xml:space="preserve"> One might think that access to better money would be the cure for poverty and low income families; however, this is rarely the true solution to generational poverty. </w:t>
      </w:r>
    </w:p>
    <w:p w:rsidR="007F2C49" w:rsidRDefault="00496699" w:rsidP="007F2C49">
      <w:pPr>
        <w:spacing w:line="480" w:lineRule="auto"/>
      </w:pPr>
      <w:r>
        <w:tab/>
        <w:t>A large contribution to poverty lies not just in location, but also in access to available</w:t>
      </w:r>
      <w:r w:rsidR="00434D39">
        <w:t xml:space="preserve"> </w:t>
      </w:r>
      <w:proofErr w:type="gramStart"/>
      <w:r w:rsidR="00434D39">
        <w:t xml:space="preserve">educational </w:t>
      </w:r>
      <w:r>
        <w:t xml:space="preserve"> resources</w:t>
      </w:r>
      <w:proofErr w:type="gramEnd"/>
      <w:r>
        <w:t xml:space="preserve">. For children who are in poverty level families, </w:t>
      </w:r>
      <w:r w:rsidR="00CB2D5B">
        <w:t xml:space="preserve">access to higher means of education is limited for several reasons. In some cases, limitations can be due to lack of institutional availability, while other reasons can be due to lack of dedicated instructors. In the Abecedarian project study, children from </w:t>
      </w:r>
      <w:r w:rsidR="00434D39">
        <w:t>infancy</w:t>
      </w:r>
      <w:r w:rsidR="00CB2D5B">
        <w:t xml:space="preserve"> to age five who descended from poverty-level families were provided with educational intervention services. These services resulted in finding that those in receipt achieved greater success educationally and cognitively</w:t>
      </w:r>
      <w:r w:rsidR="0088488C">
        <w:t xml:space="preserve"> through the lifespan</w:t>
      </w:r>
      <w:r w:rsidR="00CB2D5B">
        <w:t xml:space="preserve">. </w:t>
      </w:r>
      <w:proofErr w:type="gramStart"/>
      <w:r w:rsidR="00CB2D5B">
        <w:t>(Ferguson, Bovaird, &amp; Mueller, 2007).</w:t>
      </w:r>
      <w:proofErr w:type="gramEnd"/>
      <w:r w:rsidR="003A08D7">
        <w:t xml:space="preserve"> This study aids as proof in disbanding the belief that financial aid</w:t>
      </w:r>
      <w:r w:rsidR="0000710C">
        <w:t xml:space="preserve"> is a primary means to intervening</w:t>
      </w:r>
      <w:r w:rsidR="006042B9">
        <w:t xml:space="preserve"> in poverty, suggesting that educational intervention may in fact be a key component in relieving generational poverty.</w:t>
      </w:r>
    </w:p>
    <w:p w:rsidR="008505D0" w:rsidRPr="007F2C49" w:rsidRDefault="008505D0" w:rsidP="007F2C49">
      <w:pPr>
        <w:spacing w:line="480" w:lineRule="auto"/>
      </w:pPr>
      <w:r>
        <w:rPr>
          <w:b/>
        </w:rPr>
        <w:t>Elderly Complications in the Workforce</w:t>
      </w:r>
    </w:p>
    <w:p w:rsidR="0036122F" w:rsidRDefault="008505D0" w:rsidP="006E2E2E">
      <w:pPr>
        <w:spacing w:after="200" w:line="480" w:lineRule="auto"/>
      </w:pPr>
      <w:r>
        <w:tab/>
        <w:t xml:space="preserve">The desire to pursue the American Dream is further complicated as individuals enter late adulthood. </w:t>
      </w:r>
      <w:r w:rsidR="006752E6">
        <w:t xml:space="preserve">Social stigmas in the United States exist which constrict the ability of the elderly to not only contribute to society, but also constrict their ability to help themselves. A key phrase that is regularly associated with the elderly is, "You can't teach </w:t>
      </w:r>
      <w:proofErr w:type="gramStart"/>
      <w:r w:rsidR="006752E6">
        <w:t>an old dog new tricks</w:t>
      </w:r>
      <w:proofErr w:type="gramEnd"/>
      <w:r w:rsidR="006752E6">
        <w:t xml:space="preserve">." </w:t>
      </w:r>
      <w:r w:rsidR="0036122F">
        <w:t xml:space="preserve">This phrase in itself poses major limitations psychologically as well as socially to the elderly population. </w:t>
      </w:r>
    </w:p>
    <w:p w:rsidR="00D16FDB" w:rsidRDefault="0036122F" w:rsidP="006E2E2E">
      <w:pPr>
        <w:spacing w:after="200" w:line="480" w:lineRule="auto"/>
      </w:pPr>
      <w:r>
        <w:lastRenderedPageBreak/>
        <w:tab/>
        <w:t xml:space="preserve">Employers have a tendency to push elder workers to retire for numerous reasons, which include the possibility of slower production rates from the elder individual, high wage costs particularly for an elder employee who has been with the company for numerous years, and the likelihood that the senior adult will be less likely to waiver in job responsibilities due to pay levels and seniority </w:t>
      </w:r>
      <w:r w:rsidRPr="001F60DA">
        <w:t>(Barker &amp; Clark, 1980</w:t>
      </w:r>
      <w:r>
        <w:t>).</w:t>
      </w:r>
      <w:r w:rsidR="00D16FDB">
        <w:t xml:space="preserve"> </w:t>
      </w:r>
    </w:p>
    <w:p w:rsidR="00751ECD" w:rsidRDefault="00D16FDB" w:rsidP="006E2E2E">
      <w:pPr>
        <w:spacing w:after="200" w:line="480" w:lineRule="auto"/>
      </w:pPr>
      <w:r>
        <w:tab/>
        <w:t xml:space="preserve">Just as employers influence elderly individuals to retire, family and friends may also make similar suggestions. The power of persuasion in these instances typically will win over the better judgment of the elderly individual, resulting in retirement in many cases, against his or her true desires. In the decision to retire, the elderly individual is then faced with the decision of what to do next in life. </w:t>
      </w:r>
      <w:r w:rsidR="00060BCA">
        <w:t xml:space="preserve">In cases where family and friends are not supportive of the individual beyond retirement, he or she may battle feelings of depression, </w:t>
      </w:r>
      <w:r w:rsidR="00804EBD">
        <w:t xml:space="preserve">diminished sense of self, and even encounter a state of stagnant living. </w:t>
      </w:r>
    </w:p>
    <w:p w:rsidR="00130107" w:rsidRDefault="00751ECD" w:rsidP="006E2E2E">
      <w:pPr>
        <w:spacing w:after="200" w:line="480" w:lineRule="auto"/>
      </w:pPr>
      <w:r>
        <w:tab/>
        <w:t xml:space="preserve">As the elderly individual enters life as a non-working citizen, they must now establish a new sense of purpose. Many of these individuals are able to find a sense of satisfaction in taking on the role of grand-parenting. </w:t>
      </w:r>
      <w:r w:rsidR="00023846">
        <w:t xml:space="preserve">Still, there are many elderly individuals who are unable to take on such roles and must still struggle to find a sense of meaning in life after work. </w:t>
      </w:r>
      <w:r w:rsidR="009459F6">
        <w:t xml:space="preserve">Erik Erikson's theory of generativity may outline an instinctive desire for those elderly individuals who do not have grand children to guide. Erikson's theory asserts that people in their later years have a natural desire to assist in guiding the next generation (Zastrow &amp; Kirst-Ashman, 2010). This instinctive desire may lead the individual to seek self-gratifying actions like volunteering or finding work where they will be able to contribute a sense of guidance to others, particularly to the young. If the individual is able to </w:t>
      </w:r>
      <w:r w:rsidR="001F227A">
        <w:t xml:space="preserve">successfully find a place in society that gives him or </w:t>
      </w:r>
      <w:proofErr w:type="gramStart"/>
      <w:r w:rsidR="001F227A">
        <w:t>her a</w:t>
      </w:r>
      <w:proofErr w:type="gramEnd"/>
      <w:r w:rsidR="001F227A">
        <w:t xml:space="preserve"> sense of meaning, the </w:t>
      </w:r>
      <w:r w:rsidR="004F2C67">
        <w:t>promise</w:t>
      </w:r>
      <w:r w:rsidR="001F227A">
        <w:t xml:space="preserve"> of continuing life in a healthy state remains high. </w:t>
      </w:r>
    </w:p>
    <w:p w:rsidR="00EA00AD" w:rsidRDefault="00130107" w:rsidP="006E2E2E">
      <w:pPr>
        <w:spacing w:after="200" w:line="480" w:lineRule="auto"/>
        <w:rPr>
          <w:b/>
        </w:rPr>
      </w:pPr>
      <w:r>
        <w:rPr>
          <w:b/>
        </w:rPr>
        <w:lastRenderedPageBreak/>
        <w:t xml:space="preserve">Women and </w:t>
      </w:r>
      <w:proofErr w:type="gramStart"/>
      <w:r>
        <w:rPr>
          <w:b/>
        </w:rPr>
        <w:t>The</w:t>
      </w:r>
      <w:proofErr w:type="gramEnd"/>
      <w:r>
        <w:rPr>
          <w:b/>
        </w:rPr>
        <w:t xml:space="preserve"> American Dream: The Glass Ceiling</w:t>
      </w:r>
    </w:p>
    <w:p w:rsidR="00580CE1" w:rsidRDefault="00EA00AD" w:rsidP="006E2E2E">
      <w:pPr>
        <w:spacing w:after="200" w:line="480" w:lineRule="auto"/>
      </w:pPr>
      <w:r>
        <w:tab/>
      </w:r>
      <w:r w:rsidR="00580CE1">
        <w:t xml:space="preserve">The American Dream is further complicated for women across their </w:t>
      </w:r>
      <w:r w:rsidR="00416364">
        <w:t xml:space="preserve">entire </w:t>
      </w:r>
      <w:r w:rsidR="00580CE1">
        <w:t xml:space="preserve">lifespan. Women are far more likely to experience </w:t>
      </w:r>
      <w:r w:rsidR="008B1F30">
        <w:t xml:space="preserve">lower income rates, </w:t>
      </w:r>
      <w:r w:rsidR="00580CE1">
        <w:t>h</w:t>
      </w:r>
      <w:r w:rsidR="008B1F30">
        <w:t xml:space="preserve">igher rates of chronic illness, </w:t>
      </w:r>
      <w:r w:rsidR="00580CE1">
        <w:t xml:space="preserve">and experience more complications in life as they decide how to pursue their own sense of happiness. </w:t>
      </w:r>
    </w:p>
    <w:p w:rsidR="00F44D31" w:rsidRDefault="005E0C94" w:rsidP="006E2E2E">
      <w:pPr>
        <w:spacing w:after="200" w:line="480" w:lineRule="auto"/>
      </w:pPr>
      <w:r>
        <w:tab/>
      </w:r>
      <w:r w:rsidR="00416364">
        <w:t xml:space="preserve">In modern society, the need to have a two income household is becoming a </w:t>
      </w:r>
      <w:r w:rsidR="00022027">
        <w:t xml:space="preserve">social </w:t>
      </w:r>
      <w:r w:rsidR="00416364">
        <w:t>norm. Regardless of whether or not a woman has an education, her income is likely to be less than that of a man's, as demonstrated by countless studies.</w:t>
      </w:r>
      <w:r w:rsidR="0090321F">
        <w:t xml:space="preserve"> In her early 20s, a woman must make the decision to further her education or to settle down and start a family, and in many cases, women choose to do both. </w:t>
      </w:r>
    </w:p>
    <w:p w:rsidR="0038001F" w:rsidRDefault="00F44D31" w:rsidP="006E2E2E">
      <w:pPr>
        <w:spacing w:after="200" w:line="480" w:lineRule="auto"/>
      </w:pPr>
      <w:r>
        <w:tab/>
        <w:t xml:space="preserve">Social roles demand that women who start a family still maintain themselves as the primary care-giver for her children and significant other, despite her decisions economically. </w:t>
      </w:r>
      <w:r w:rsidR="001E06DB">
        <w:t xml:space="preserve">This means that the woman is expected to perform maternal duties in addition to whatever additional commitments she has chosen to take on. For example, a young woman with two children and a husband who is attending school and working a full time job may still be primarily expected to care for her family and adapt her educational and economical life to her role as a mother and wife. </w:t>
      </w:r>
    </w:p>
    <w:p w:rsidR="00F440D5" w:rsidRDefault="00F440D5" w:rsidP="006E2E2E">
      <w:pPr>
        <w:spacing w:after="200" w:line="480" w:lineRule="auto"/>
      </w:pPr>
      <w:r>
        <w:tab/>
        <w:t>Not only do women encounter potential dual role conflicts within their life</w:t>
      </w:r>
      <w:r w:rsidR="00F257B0">
        <w:t>;</w:t>
      </w:r>
      <w:r>
        <w:t xml:space="preserve"> biologically, they undergo a fair amount of stress as well.</w:t>
      </w:r>
      <w:r w:rsidR="009A0D9A">
        <w:t xml:space="preserve"> At the stage of puberty, a young woman's body experiences drastic changes preparing her physiologically for child-bearing. In the cases of conception, her body further undergoes strain and change as her body readies for birthing and motherhood.</w:t>
      </w:r>
      <w:r w:rsidR="008E0364">
        <w:t xml:space="preserve"> As the woman enters later adulthood, she experiences a final biological transition into </w:t>
      </w:r>
      <w:r w:rsidR="0074720F">
        <w:t xml:space="preserve">menopause.  </w:t>
      </w:r>
    </w:p>
    <w:p w:rsidR="005E0C94" w:rsidRDefault="0038001F" w:rsidP="006E2E2E">
      <w:pPr>
        <w:spacing w:after="200" w:line="480" w:lineRule="auto"/>
      </w:pPr>
      <w:r>
        <w:lastRenderedPageBreak/>
        <w:tab/>
        <w:t>As</w:t>
      </w:r>
      <w:r w:rsidR="00CB396A">
        <w:t xml:space="preserve"> a women age, </w:t>
      </w:r>
      <w:proofErr w:type="gramStart"/>
      <w:r w:rsidR="00CB396A">
        <w:t>their  health</w:t>
      </w:r>
      <w:proofErr w:type="gramEnd"/>
      <w:r w:rsidR="00CB396A">
        <w:t xml:space="preserve"> needs are likely to increase because, for example, women are more likely than men to develop chronic illnesses (Zastrow &amp; Kirst-Ashman,</w:t>
      </w:r>
      <w:r w:rsidR="00D1633A">
        <w:t xml:space="preserve"> 2010). Despite the obvious need which women demonstrate when it comes to health services, medical health coverage systems such as Medicare supply minimal or inadequate health care provisions. </w:t>
      </w:r>
      <w:r w:rsidR="0019251B">
        <w:t xml:space="preserve">Even for a woman who has been successfully employed throughout her life and has a healthy nest egg set aside, onset illness can quickly diminish those nest egg funds, leaving her susceptible to the mercy of the medical system restrictions. </w:t>
      </w:r>
      <w:r w:rsidR="00022027">
        <w:t>Adding insult to injury, according to Zastrow &amp; Kirst-Ashman (2010), the occurrence of poverty and inadequate healthcare is</w:t>
      </w:r>
      <w:r w:rsidR="0029304B">
        <w:t xml:space="preserve"> significantly</w:t>
      </w:r>
      <w:r w:rsidR="00022027">
        <w:t xml:space="preserve"> higher if an individual is both female and of ethnic descent. </w:t>
      </w:r>
    </w:p>
    <w:p w:rsidR="00750902" w:rsidRDefault="00750902" w:rsidP="00750902">
      <w:pPr>
        <w:spacing w:after="200" w:line="480" w:lineRule="auto"/>
        <w:jc w:val="center"/>
        <w:rPr>
          <w:b/>
        </w:rPr>
      </w:pPr>
      <w:r>
        <w:rPr>
          <w:b/>
        </w:rPr>
        <w:t>Conclusion</w:t>
      </w:r>
    </w:p>
    <w:p w:rsidR="00750902" w:rsidRPr="00750902" w:rsidRDefault="00CE4E92" w:rsidP="00750902">
      <w:pPr>
        <w:spacing w:after="200" w:line="480" w:lineRule="auto"/>
      </w:pPr>
      <w:r>
        <w:tab/>
      </w:r>
      <w:r w:rsidR="009103C8">
        <w:t xml:space="preserve">Today it is less likely that citizens of the United States will truly be able </w:t>
      </w:r>
      <w:r>
        <w:t xml:space="preserve">to achieve the concept behind the American Dream; however, </w:t>
      </w:r>
      <w:r w:rsidR="009103C8">
        <w:t xml:space="preserve">there are still many who continue to endeavor towards the idealization. </w:t>
      </w:r>
      <w:r w:rsidR="00AC5830">
        <w:t xml:space="preserve">If our society were to apply </w:t>
      </w:r>
      <w:r w:rsidR="00255E31">
        <w:t xml:space="preserve">the effective means for eliminating poverty, social bias in the </w:t>
      </w:r>
      <w:proofErr w:type="gramStart"/>
      <w:r w:rsidR="00255E31">
        <w:t>elderly,</w:t>
      </w:r>
      <w:proofErr w:type="gramEnd"/>
      <w:r w:rsidR="00255E31">
        <w:t xml:space="preserve"> and equalizing opportunity for women, </w:t>
      </w:r>
      <w:r w:rsidR="00BD2E77">
        <w:t xml:space="preserve">chances of attaining a small piece of The Dream </w:t>
      </w:r>
      <w:r w:rsidR="007A29F3">
        <w:t>would become a more solidified reality for more than just the top 20% of the population.</w:t>
      </w:r>
    </w:p>
    <w:p w:rsidR="008505D0" w:rsidRDefault="009B6B08" w:rsidP="0027536F">
      <w:pPr>
        <w:spacing w:after="200" w:line="480" w:lineRule="auto"/>
        <w:jc w:val="center"/>
        <w:rPr>
          <w:b/>
        </w:rPr>
      </w:pPr>
      <w:r>
        <w:rPr>
          <w:b/>
        </w:rPr>
        <w:t>Personal Reflection</w:t>
      </w:r>
    </w:p>
    <w:p w:rsidR="00F819CA" w:rsidRDefault="00F819CA" w:rsidP="006E2E2E">
      <w:pPr>
        <w:spacing w:after="200" w:line="480" w:lineRule="auto"/>
        <w:rPr>
          <w:b/>
        </w:rPr>
      </w:pPr>
      <w:r>
        <w:rPr>
          <w:b/>
        </w:rPr>
        <w:tab/>
      </w:r>
      <w:r>
        <w:t xml:space="preserve">In perfect honesty, what I have learned thus far has been no sort of new information by comparison to my last course. Even in searching for new materials, most present the same type of information. The materials provided in this course merely summarized what I have learned prior to now. Despite </w:t>
      </w:r>
      <w:r w:rsidR="0027536F">
        <w:t xml:space="preserve">the lack of new </w:t>
      </w:r>
      <w:r>
        <w:t xml:space="preserve">information, I can say that the information that was </w:t>
      </w:r>
      <w:r>
        <w:lastRenderedPageBreak/>
        <w:t>presented, though previously understood, has shaped much of my perception on the</w:t>
      </w:r>
      <w:r w:rsidR="00BA3438">
        <w:t xml:space="preserve"> populations discussed here. </w:t>
      </w:r>
      <w:r>
        <w:rPr>
          <w:b/>
        </w:rPr>
        <w:t xml:space="preserve"> </w:t>
      </w:r>
    </w:p>
    <w:p w:rsidR="00742D11" w:rsidRPr="00742D11" w:rsidRDefault="00742D11" w:rsidP="006E2E2E">
      <w:pPr>
        <w:spacing w:after="200" w:line="480" w:lineRule="auto"/>
      </w:pPr>
      <w:r>
        <w:rPr>
          <w:b/>
        </w:rPr>
        <w:tab/>
      </w:r>
      <w:r>
        <w:t xml:space="preserve">Populations experiencing poverty has been of particular interest to me for some time, particularly due to personal experience. In the study of generational poverty, I learned that my previous conception of combating poverty was ill-conceived. The thought of throwing money in the direction of the needy was where I had previously believed </w:t>
      </w:r>
      <w:r w:rsidR="00186DA9">
        <w:t xml:space="preserve">resolution to be. Reading the study involving the Abecedarian project, I surprisingly discovered a personal preconceived notion that suggested education could be the ultimate combatant to eliminating poverty. </w:t>
      </w:r>
    </w:p>
    <w:p w:rsidR="008628EE" w:rsidRDefault="00646314" w:rsidP="006E2E2E">
      <w:pPr>
        <w:spacing w:after="200" w:line="480" w:lineRule="auto"/>
      </w:pPr>
      <w:r>
        <w:rPr>
          <w:b/>
        </w:rPr>
        <w:tab/>
      </w:r>
      <w:r w:rsidR="003E2012">
        <w:t xml:space="preserve">The elderly and women population on the other hand, held little interest for me prior to </w:t>
      </w:r>
      <w:r w:rsidR="0054421E">
        <w:t xml:space="preserve">studying them further in depth. Of the two, I still maintain a lesser interest in women; however, </w:t>
      </w:r>
      <w:r w:rsidR="00F41DDA">
        <w:t xml:space="preserve">when it comes to the elderly population, as I have learned more, I have also begun to experience a desire to become an advocate for change within the elderly population. </w:t>
      </w:r>
      <w:r w:rsidR="00155434">
        <w:t xml:space="preserve">The topics I have highlighted in this paper are merely a fraction of the information I have learned, particular from previous classes and studies. </w:t>
      </w:r>
      <w:r w:rsidR="008628EE">
        <w:t xml:space="preserve">Even now, with what I have learned, I have noticed that I have developed a lesser tolerance for people who appear to "look down on" the elderly </w:t>
      </w:r>
      <w:proofErr w:type="gramStart"/>
      <w:r w:rsidR="008628EE">
        <w:t>and  who</w:t>
      </w:r>
      <w:proofErr w:type="gramEnd"/>
      <w:r w:rsidR="008628EE">
        <w:t xml:space="preserve"> perceive them as a problem that is not of their concern. I am slowly learning how to become a positive voice to impact those negative perceptions in order to advocate for and with the elderly population, knowing that as that population doubles over the next 30 years, without advocates, the elderly population is doomed to a bleak future. </w:t>
      </w:r>
    </w:p>
    <w:p w:rsidR="00825CB1" w:rsidRDefault="00073BBC" w:rsidP="00825CB1">
      <w:pPr>
        <w:spacing w:after="200" w:line="480" w:lineRule="auto"/>
      </w:pPr>
      <w:r>
        <w:tab/>
        <w:t xml:space="preserve">In all, while I did not learn a particular great amount from this particular activity; I do believe that what I have learned overall throughout my last few courses has slowly and positively shaped my perspective and ability to impact the populations discussed here. </w:t>
      </w:r>
    </w:p>
    <w:p w:rsidR="00FF61C3" w:rsidRDefault="00C45EAE" w:rsidP="00825CB1">
      <w:pPr>
        <w:spacing w:after="200" w:line="480" w:lineRule="auto"/>
        <w:jc w:val="center"/>
      </w:pPr>
      <w:r>
        <w:lastRenderedPageBreak/>
        <w:t>References</w:t>
      </w:r>
    </w:p>
    <w:p w:rsidR="00FF61C3" w:rsidRPr="001F60DA" w:rsidRDefault="00FF61C3" w:rsidP="00FF61C3">
      <w:pPr>
        <w:spacing w:after="160" w:line="480" w:lineRule="auto"/>
        <w:ind w:left="720" w:hanging="720"/>
        <w:rPr>
          <w:color w:val="333333"/>
        </w:rPr>
      </w:pPr>
      <w:proofErr w:type="gramStart"/>
      <w:r w:rsidRPr="001F60DA">
        <w:rPr>
          <w:color w:val="333333"/>
        </w:rPr>
        <w:t>Barker, D. T., &amp; Clark, R. L. (1980, November).</w:t>
      </w:r>
      <w:proofErr w:type="gramEnd"/>
      <w:r w:rsidRPr="001F60DA">
        <w:rPr>
          <w:color w:val="333333"/>
        </w:rPr>
        <w:t> </w:t>
      </w:r>
      <w:proofErr w:type="gramStart"/>
      <w:r w:rsidRPr="001F60DA">
        <w:rPr>
          <w:color w:val="333333"/>
        </w:rPr>
        <w:t>Mandatory Retirement and Labor-Force Participation of Respondents in the Retirement History Study.</w:t>
      </w:r>
      <w:proofErr w:type="gramEnd"/>
      <w:r w:rsidRPr="001F60DA">
        <w:rPr>
          <w:color w:val="333333"/>
        </w:rPr>
        <w:t> </w:t>
      </w:r>
      <w:proofErr w:type="gramStart"/>
      <w:r w:rsidRPr="001F60DA">
        <w:rPr>
          <w:rStyle w:val="Emphasis"/>
          <w:color w:val="333333"/>
        </w:rPr>
        <w:t>Social Security Bulletin, 43</w:t>
      </w:r>
      <w:r w:rsidRPr="001F60DA">
        <w:rPr>
          <w:color w:val="333333"/>
        </w:rPr>
        <w:t>(11), 20-29, 55.</w:t>
      </w:r>
      <w:proofErr w:type="gramEnd"/>
      <w:r w:rsidRPr="001F60DA">
        <w:rPr>
          <w:color w:val="333333"/>
        </w:rPr>
        <w:t xml:space="preserve"> Retrieved from </w:t>
      </w:r>
      <w:hyperlink r:id="rId6" w:history="1">
        <w:r w:rsidRPr="001F60DA">
          <w:rPr>
            <w:rStyle w:val="Hyperlink"/>
          </w:rPr>
          <w:t>http://www.ssa.gov/policy/docs/ssb/v43n11/v43n11p20.pdf</w:t>
        </w:r>
      </w:hyperlink>
    </w:p>
    <w:p w:rsidR="00C45EAE" w:rsidRPr="006C1E51" w:rsidRDefault="00C45EAE" w:rsidP="006E2E2E">
      <w:pPr>
        <w:spacing w:after="160" w:line="480" w:lineRule="auto"/>
        <w:ind w:left="720" w:hanging="720"/>
        <w:rPr>
          <w:i/>
          <w:color w:val="333333"/>
        </w:rPr>
      </w:pPr>
      <w:r>
        <w:rPr>
          <w:color w:val="333333"/>
        </w:rPr>
        <w:t xml:space="preserve">Ferguson, H.B., Bovaird, M.P.H., Mueller, M.P. (2007, October). </w:t>
      </w:r>
      <w:proofErr w:type="gramStart"/>
      <w:r>
        <w:rPr>
          <w:color w:val="333333"/>
        </w:rPr>
        <w:t>The Impact of Poverty on Educational Outcomes for Children.</w:t>
      </w:r>
      <w:proofErr w:type="gramEnd"/>
      <w:r>
        <w:rPr>
          <w:color w:val="333333"/>
        </w:rPr>
        <w:t xml:space="preserve"> </w:t>
      </w:r>
      <w:r>
        <w:rPr>
          <w:i/>
          <w:color w:val="333333"/>
        </w:rPr>
        <w:t>Paediatrics &amp; Child Health, 12</w:t>
      </w:r>
      <w:r>
        <w:rPr>
          <w:color w:val="333333"/>
        </w:rPr>
        <w:t>(8), 701-706.</w:t>
      </w:r>
      <w:r>
        <w:rPr>
          <w:i/>
          <w:color w:val="333333"/>
        </w:rPr>
        <w:t xml:space="preserve"> </w:t>
      </w:r>
    </w:p>
    <w:p w:rsidR="00C45EAE" w:rsidRDefault="00F41944" w:rsidP="006E2E2E">
      <w:pPr>
        <w:spacing w:line="480" w:lineRule="auto"/>
        <w:ind w:left="720" w:hanging="720"/>
        <w:rPr>
          <w:i/>
        </w:rPr>
      </w:pPr>
      <w:r>
        <w:t xml:space="preserve">Payne, R.K. (1996, March). Understanding and Working with Students and Adults from Poverty. </w:t>
      </w:r>
      <w:proofErr w:type="gramStart"/>
      <w:r>
        <w:rPr>
          <w:i/>
        </w:rPr>
        <w:t>Instructional Leader, 4(2).</w:t>
      </w:r>
      <w:proofErr w:type="gramEnd"/>
    </w:p>
    <w:p w:rsidR="002D7276" w:rsidRPr="001F60DA" w:rsidRDefault="002D7276" w:rsidP="002D7276">
      <w:pPr>
        <w:spacing w:after="160" w:line="480" w:lineRule="auto"/>
        <w:ind w:left="720" w:hanging="720"/>
      </w:pPr>
      <w:proofErr w:type="gramStart"/>
      <w:r w:rsidRPr="001F60DA">
        <w:rPr>
          <w:color w:val="333333"/>
        </w:rPr>
        <w:t>Zastrow, C. H., &amp; Kirst-Ashman, K. K. (2010).</w:t>
      </w:r>
      <w:proofErr w:type="gramEnd"/>
      <w:r w:rsidRPr="001F60DA">
        <w:rPr>
          <w:rStyle w:val="apple-converted-space"/>
          <w:color w:val="333333"/>
        </w:rPr>
        <w:t> </w:t>
      </w:r>
      <w:r w:rsidRPr="001F60DA">
        <w:rPr>
          <w:rStyle w:val="Emphasis"/>
          <w:color w:val="333333"/>
        </w:rPr>
        <w:t>Understanding Human Behavior and the Social Environment</w:t>
      </w:r>
      <w:r w:rsidRPr="001F60DA">
        <w:rPr>
          <w:rStyle w:val="apple-converted-space"/>
          <w:color w:val="333333"/>
        </w:rPr>
        <w:t> </w:t>
      </w:r>
      <w:r w:rsidRPr="001F60DA">
        <w:rPr>
          <w:color w:val="333333"/>
        </w:rPr>
        <w:t xml:space="preserve">(8th </w:t>
      </w:r>
      <w:proofErr w:type="gramStart"/>
      <w:r w:rsidRPr="001F60DA">
        <w:rPr>
          <w:color w:val="333333"/>
        </w:rPr>
        <w:t>ed</w:t>
      </w:r>
      <w:proofErr w:type="gramEnd"/>
      <w:r w:rsidRPr="001F60DA">
        <w:rPr>
          <w:color w:val="333333"/>
        </w:rPr>
        <w:t>.). : Cengage Learning.</w:t>
      </w:r>
    </w:p>
    <w:p w:rsidR="00F77E06" w:rsidRPr="00F77E06" w:rsidRDefault="00F77E06" w:rsidP="00F77E06">
      <w:pPr>
        <w:keepNext/>
        <w:jc w:val="center"/>
        <w:outlineLvl w:val="0"/>
        <w:rPr>
          <w:rFonts w:ascii="Arial" w:hAnsi="Arial" w:cs="Arial"/>
          <w:b/>
          <w:bCs/>
          <w:i/>
          <w:iCs/>
          <w:kern w:val="32"/>
        </w:rPr>
      </w:pPr>
      <w:r w:rsidRPr="00F77E06">
        <w:rPr>
          <w:rFonts w:ascii="Arial" w:hAnsi="Arial" w:cs="Arial"/>
          <w:b/>
          <w:bCs/>
          <w:i/>
          <w:iCs/>
          <w:kern w:val="32"/>
        </w:rPr>
        <w:t>Reflective Paper</w:t>
      </w:r>
    </w:p>
    <w:p w:rsidR="00F77E06" w:rsidRPr="00F77E06" w:rsidRDefault="00F77E06" w:rsidP="00F77E06"/>
    <w:p w:rsidR="00F77E06" w:rsidRPr="00F77E06" w:rsidRDefault="00F77E06" w:rsidP="00F77E06">
      <w:pPr>
        <w:spacing w:before="120" w:after="120"/>
        <w:rPr>
          <w:rFonts w:ascii="Arial" w:hAnsi="Arial"/>
          <w:sz w:val="16"/>
          <w:szCs w:val="16"/>
        </w:rPr>
      </w:pPr>
      <w:r w:rsidRPr="00F77E06">
        <w:rPr>
          <w:rFonts w:ascii="Arial" w:hAnsi="Arial"/>
          <w:sz w:val="20"/>
          <w:szCs w:val="20"/>
        </w:rPr>
        <w:t>This assignment is due in Week Three.</w:t>
      </w:r>
    </w:p>
    <w:tbl>
      <w:tblPr>
        <w:tblW w:w="9292" w:type="dxa"/>
        <w:jc w:val="center"/>
        <w:tblCellSpacing w:w="7" w:type="dxa"/>
        <w:tblInd w:w="1326" w:type="dxa"/>
        <w:tblBorders>
          <w:top w:val="outset" w:sz="6" w:space="0" w:color="003366"/>
          <w:left w:val="outset" w:sz="6" w:space="0" w:color="003366"/>
          <w:bottom w:val="outset" w:sz="6" w:space="0" w:color="003366"/>
          <w:right w:val="outset" w:sz="6" w:space="0" w:color="003366"/>
        </w:tblBorders>
        <w:tblCellMar>
          <w:top w:w="30" w:type="dxa"/>
          <w:left w:w="30" w:type="dxa"/>
          <w:bottom w:w="30" w:type="dxa"/>
          <w:right w:w="30" w:type="dxa"/>
        </w:tblCellMar>
        <w:tblLook w:val="04A0" w:firstRow="1" w:lastRow="0" w:firstColumn="1" w:lastColumn="0" w:noHBand="0" w:noVBand="1"/>
      </w:tblPr>
      <w:tblGrid>
        <w:gridCol w:w="6292"/>
        <w:gridCol w:w="983"/>
        <w:gridCol w:w="783"/>
        <w:gridCol w:w="1234"/>
      </w:tblGrid>
      <w:tr w:rsidR="00F77E06" w:rsidRPr="00F77E06" w:rsidTr="00F77E06">
        <w:trPr>
          <w:trHeight w:val="555"/>
          <w:tblCellSpacing w:w="7" w:type="dxa"/>
          <w:jc w:val="center"/>
        </w:trPr>
        <w:tc>
          <w:tcPr>
            <w:tcW w:w="6275"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t>Content</w:t>
            </w:r>
          </w:p>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t>60 Percent</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Points Available</w:t>
            </w:r>
          </w:p>
          <w:p w:rsidR="00F77E06" w:rsidRPr="00F77E06" w:rsidRDefault="00F77E06" w:rsidP="00F77E06">
            <w:pPr>
              <w:spacing w:before="100" w:beforeAutospacing="1" w:after="100" w:afterAutospacing="1"/>
              <w:jc w:val="center"/>
              <w:rPr>
                <w:rFonts w:ascii="Arial" w:hAnsi="Arial" w:cs="Arial"/>
                <w:i/>
                <w:iCs/>
                <w:sz w:val="20"/>
                <w:szCs w:val="20"/>
              </w:rPr>
            </w:pPr>
            <w:r w:rsidRPr="00F77E06">
              <w:rPr>
                <w:rFonts w:ascii="Arial" w:hAnsi="Arial" w:cs="Arial"/>
                <w:i/>
                <w:iCs/>
                <w:sz w:val="20"/>
                <w:szCs w:val="20"/>
              </w:rPr>
              <w:t>9</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Points Earned</w:t>
            </w:r>
          </w:p>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9/9</w:t>
            </w:r>
          </w:p>
        </w:tc>
        <w:tc>
          <w:tcPr>
            <w:tcW w:w="1116"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sz w:val="20"/>
                <w:szCs w:val="20"/>
              </w:rPr>
              <w:t>Additional Comments:</w:t>
            </w:r>
          </w:p>
        </w:tc>
      </w:tr>
      <w:tr w:rsidR="00F77E06" w:rsidRPr="00F77E06" w:rsidTr="00F77E06">
        <w:trPr>
          <w:trHeight w:val="515"/>
          <w:tblCellSpacing w:w="7" w:type="dxa"/>
          <w:jc w:val="center"/>
        </w:trPr>
        <w:tc>
          <w:tcPr>
            <w:tcW w:w="6275"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numPr>
                <w:ilvl w:val="0"/>
                <w:numId w:val="3"/>
              </w:numPr>
              <w:spacing w:after="160" w:line="254" w:lineRule="auto"/>
              <w:outlineLvl w:val="0"/>
              <w:rPr>
                <w:rFonts w:ascii="Arial" w:hAnsi="Arial"/>
                <w:color w:val="000000"/>
                <w:sz w:val="20"/>
                <w:szCs w:val="20"/>
              </w:rPr>
            </w:pPr>
            <w:r w:rsidRPr="00F77E06">
              <w:rPr>
                <w:rFonts w:ascii="Arial" w:hAnsi="Arial" w:cs="Arial"/>
                <w:sz w:val="20"/>
                <w:szCs w:val="20"/>
              </w:rPr>
              <w:t>Student clearly i</w:t>
            </w:r>
            <w:r w:rsidRPr="00F77E06">
              <w:rPr>
                <w:rFonts w:ascii="Arial" w:hAnsi="Arial"/>
                <w:sz w:val="20"/>
                <w:szCs w:val="20"/>
              </w:rPr>
              <w:t>dentified the complex factors involved in overcoming generational poverty.</w:t>
            </w:r>
          </w:p>
          <w:p w:rsidR="00F77E06" w:rsidRPr="00F77E06" w:rsidRDefault="00F77E06" w:rsidP="00F77E06">
            <w:pPr>
              <w:numPr>
                <w:ilvl w:val="0"/>
                <w:numId w:val="3"/>
              </w:numPr>
              <w:spacing w:after="160" w:line="254" w:lineRule="auto"/>
              <w:outlineLvl w:val="0"/>
              <w:rPr>
                <w:rFonts w:ascii="Arial" w:hAnsi="Arial" w:cs="Arial"/>
                <w:sz w:val="20"/>
                <w:szCs w:val="20"/>
              </w:rPr>
            </w:pPr>
            <w:r w:rsidRPr="00F77E06">
              <w:rPr>
                <w:rFonts w:ascii="Arial" w:hAnsi="Arial" w:cs="Arial"/>
                <w:sz w:val="20"/>
                <w:szCs w:val="20"/>
              </w:rPr>
              <w:t xml:space="preserve">Student explained the challenges the aged face when there is a lack of access to employment. </w:t>
            </w:r>
          </w:p>
          <w:p w:rsidR="00F77E06" w:rsidRPr="00F77E06" w:rsidRDefault="00F77E06" w:rsidP="00F77E06">
            <w:pPr>
              <w:numPr>
                <w:ilvl w:val="0"/>
                <w:numId w:val="3"/>
              </w:numPr>
              <w:spacing w:after="160" w:line="254" w:lineRule="auto"/>
              <w:outlineLvl w:val="0"/>
              <w:rPr>
                <w:rFonts w:ascii="Arial" w:hAnsi="Arial" w:cs="Arial"/>
                <w:sz w:val="20"/>
                <w:szCs w:val="20"/>
              </w:rPr>
            </w:pPr>
            <w:r w:rsidRPr="00F77E06">
              <w:rPr>
                <w:rFonts w:ascii="Arial" w:hAnsi="Arial" w:cs="Arial"/>
                <w:sz w:val="20"/>
                <w:szCs w:val="20"/>
              </w:rPr>
              <w:t xml:space="preserve">Student described the unique challenges that women face through the different life stages. </w:t>
            </w:r>
          </w:p>
          <w:p w:rsidR="00F77E06" w:rsidRPr="00F77E06" w:rsidRDefault="00F77E06" w:rsidP="00F77E06">
            <w:pPr>
              <w:numPr>
                <w:ilvl w:val="0"/>
                <w:numId w:val="3"/>
              </w:numPr>
              <w:spacing w:after="160" w:line="254" w:lineRule="auto"/>
              <w:outlineLvl w:val="0"/>
              <w:rPr>
                <w:rFonts w:ascii="Arial" w:hAnsi="Arial" w:cs="Arial"/>
                <w:sz w:val="20"/>
                <w:szCs w:val="20"/>
              </w:rPr>
            </w:pPr>
            <w:r w:rsidRPr="00F77E06">
              <w:rPr>
                <w:rFonts w:ascii="Arial" w:hAnsi="Arial" w:cs="Arial"/>
                <w:sz w:val="20"/>
                <w:szCs w:val="20"/>
              </w:rPr>
              <w:t xml:space="preserve">Student answered the following question: </w:t>
            </w:r>
            <w:r w:rsidRPr="00F77E06">
              <w:rPr>
                <w:rFonts w:ascii="Arial" w:hAnsi="Arial"/>
                <w:sz w:val="20"/>
                <w:szCs w:val="20"/>
              </w:rPr>
              <w:t>Has what you learned changed your perspective and the way you will approach the special populations discussed?</w:t>
            </w:r>
          </w:p>
        </w:tc>
        <w:tc>
          <w:tcPr>
            <w:tcW w:w="0" w:type="auto"/>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rPr>
                <w:rFonts w:ascii="Arial" w:hAnsi="Arial" w:cs="Arial"/>
                <w:sz w:val="20"/>
                <w:szCs w:val="20"/>
              </w:rPr>
            </w:pPr>
          </w:p>
        </w:tc>
        <w:tc>
          <w:tcPr>
            <w:tcW w:w="0" w:type="auto"/>
            <w:tcBorders>
              <w:top w:val="outset" w:sz="6" w:space="0" w:color="003366"/>
              <w:left w:val="outset" w:sz="6" w:space="0" w:color="003366"/>
              <w:bottom w:val="outset" w:sz="6" w:space="0" w:color="003366"/>
              <w:right w:val="outset" w:sz="6" w:space="0" w:color="003366"/>
            </w:tcBorders>
            <w:vAlign w:val="center"/>
          </w:tcPr>
          <w:p w:rsidR="00F77E06" w:rsidRPr="00F77E06" w:rsidRDefault="00F77E06" w:rsidP="00F77E06">
            <w:pPr>
              <w:jc w:val="center"/>
              <w:rPr>
                <w:rFonts w:ascii="Arial" w:hAnsi="Arial" w:cs="Arial"/>
                <w:sz w:val="20"/>
                <w:szCs w:val="20"/>
              </w:rPr>
            </w:pPr>
          </w:p>
        </w:tc>
        <w:tc>
          <w:tcPr>
            <w:tcW w:w="1116"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rPr>
                <w:rFonts w:ascii="Arial" w:hAnsi="Arial" w:cs="Arial"/>
                <w:sz w:val="20"/>
                <w:szCs w:val="20"/>
              </w:rPr>
            </w:pPr>
            <w:r w:rsidRPr="00F77E06">
              <w:rPr>
                <w:rFonts w:ascii="Arial" w:hAnsi="Arial" w:cs="Arial"/>
                <w:sz w:val="20"/>
                <w:szCs w:val="20"/>
              </w:rPr>
              <w:t> In your paper you addressed factors related to generational poverty.  You also discussed the challenges faced by women and the elderly.</w:t>
            </w:r>
          </w:p>
        </w:tc>
      </w:tr>
      <w:tr w:rsidR="00F77E06" w:rsidRPr="00F77E06" w:rsidTr="00F77E06">
        <w:trPr>
          <w:trHeight w:val="752"/>
          <w:tblCellSpacing w:w="7" w:type="dxa"/>
          <w:jc w:val="center"/>
        </w:trPr>
        <w:tc>
          <w:tcPr>
            <w:tcW w:w="6275"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lastRenderedPageBreak/>
              <w:t>Organization/Development</w:t>
            </w:r>
          </w:p>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t>20 Percent</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i/>
                <w:iCs/>
                <w:sz w:val="20"/>
                <w:szCs w:val="20"/>
              </w:rPr>
            </w:pPr>
            <w:r w:rsidRPr="00F77E06">
              <w:rPr>
                <w:rFonts w:ascii="Arial" w:hAnsi="Arial" w:cs="Arial"/>
                <w:i/>
                <w:iCs/>
                <w:sz w:val="20"/>
                <w:szCs w:val="20"/>
              </w:rPr>
              <w:t>Points Available</w:t>
            </w:r>
          </w:p>
          <w:p w:rsidR="00F77E06" w:rsidRPr="00F77E06" w:rsidRDefault="00F77E06" w:rsidP="00F77E06">
            <w:pPr>
              <w:spacing w:before="100" w:beforeAutospacing="1" w:after="100" w:afterAutospacing="1"/>
              <w:jc w:val="center"/>
              <w:rPr>
                <w:rFonts w:ascii="Arial" w:hAnsi="Arial" w:cs="Arial"/>
                <w:i/>
                <w:iCs/>
                <w:sz w:val="20"/>
                <w:szCs w:val="20"/>
              </w:rPr>
            </w:pPr>
            <w:r w:rsidRPr="00F77E06">
              <w:rPr>
                <w:rFonts w:ascii="Arial" w:hAnsi="Arial" w:cs="Arial"/>
                <w:i/>
                <w:iCs/>
                <w:sz w:val="20"/>
                <w:szCs w:val="20"/>
              </w:rPr>
              <w:t>3</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Points Earned</w:t>
            </w:r>
          </w:p>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3/3</w:t>
            </w:r>
          </w:p>
        </w:tc>
        <w:tc>
          <w:tcPr>
            <w:tcW w:w="1116"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sz w:val="20"/>
                <w:szCs w:val="20"/>
              </w:rPr>
              <w:t>Additional Comments:</w:t>
            </w:r>
          </w:p>
        </w:tc>
      </w:tr>
      <w:tr w:rsidR="00F77E06" w:rsidRPr="00F77E06" w:rsidTr="00F77E06">
        <w:trPr>
          <w:trHeight w:val="1001"/>
          <w:tblCellSpacing w:w="7" w:type="dxa"/>
          <w:jc w:val="center"/>
        </w:trPr>
        <w:tc>
          <w:tcPr>
            <w:tcW w:w="6275"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numPr>
                <w:ilvl w:val="0"/>
                <w:numId w:val="4"/>
              </w:numPr>
              <w:spacing w:before="100" w:beforeAutospacing="1" w:after="100" w:afterAutospacing="1" w:line="254" w:lineRule="auto"/>
              <w:rPr>
                <w:rFonts w:ascii="Arial" w:hAnsi="Arial" w:cs="Arial"/>
                <w:sz w:val="20"/>
                <w:szCs w:val="20"/>
              </w:rPr>
            </w:pPr>
            <w:r w:rsidRPr="00F77E06">
              <w:rPr>
                <w:rFonts w:ascii="Arial" w:hAnsi="Arial" w:cs="Arial"/>
                <w:sz w:val="20"/>
                <w:szCs w:val="20"/>
              </w:rPr>
              <w:t xml:space="preserve">The paper is </w:t>
            </w:r>
            <w:r w:rsidRPr="00F77E06">
              <w:rPr>
                <w:rFonts w:ascii="Arial" w:hAnsi="Arial" w:cs="Arial"/>
                <w:color w:val="000000"/>
                <w:sz w:val="20"/>
                <w:szCs w:val="20"/>
              </w:rPr>
              <w:t>1,750 to 2,100</w:t>
            </w:r>
            <w:r w:rsidRPr="00F77E06">
              <w:rPr>
                <w:color w:val="000000"/>
              </w:rPr>
              <w:t xml:space="preserve"> </w:t>
            </w:r>
            <w:r w:rsidRPr="00F77E06">
              <w:rPr>
                <w:rFonts w:ascii="Arial" w:hAnsi="Arial" w:cs="Arial"/>
                <w:sz w:val="20"/>
                <w:szCs w:val="20"/>
              </w:rPr>
              <w:t>words in length.</w:t>
            </w:r>
          </w:p>
          <w:p w:rsidR="00F77E06" w:rsidRPr="00F77E06" w:rsidRDefault="00F77E06" w:rsidP="00F77E06">
            <w:pPr>
              <w:numPr>
                <w:ilvl w:val="0"/>
                <w:numId w:val="4"/>
              </w:numPr>
              <w:spacing w:before="100" w:beforeAutospacing="1" w:after="100" w:afterAutospacing="1" w:line="254" w:lineRule="auto"/>
              <w:rPr>
                <w:rFonts w:ascii="Arial" w:hAnsi="Arial" w:cs="Arial"/>
                <w:sz w:val="20"/>
                <w:szCs w:val="20"/>
              </w:rPr>
            </w:pPr>
            <w:r w:rsidRPr="00F77E06">
              <w:rPr>
                <w:rFonts w:ascii="Arial" w:hAnsi="Arial" w:cs="Arial"/>
                <w:sz w:val="20"/>
                <w:szCs w:val="20"/>
              </w:rPr>
              <w:t>The introduction provides sufficient background on the topic and previews major points.</w:t>
            </w:r>
          </w:p>
          <w:p w:rsidR="00F77E06" w:rsidRPr="00F77E06" w:rsidRDefault="00F77E06" w:rsidP="00F77E06">
            <w:pPr>
              <w:numPr>
                <w:ilvl w:val="0"/>
                <w:numId w:val="4"/>
              </w:numPr>
              <w:spacing w:after="160" w:line="254" w:lineRule="auto"/>
              <w:rPr>
                <w:rFonts w:ascii="Arial" w:hAnsi="Arial" w:cs="Arial"/>
                <w:sz w:val="20"/>
                <w:szCs w:val="20"/>
              </w:rPr>
            </w:pPr>
            <w:r w:rsidRPr="00F77E06">
              <w:rPr>
                <w:rFonts w:ascii="Arial" w:hAnsi="Arial" w:cs="Arial"/>
                <w:sz w:val="20"/>
                <w:szCs w:val="20"/>
              </w:rPr>
              <w:t>The conclusion is logical, flows, and reviews the major points.</w:t>
            </w:r>
          </w:p>
        </w:tc>
        <w:tc>
          <w:tcPr>
            <w:tcW w:w="0" w:type="auto"/>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rPr>
                <w:rFonts w:ascii="Arial" w:hAnsi="Arial" w:cs="Arial"/>
                <w:sz w:val="20"/>
                <w:szCs w:val="20"/>
              </w:rPr>
            </w:pPr>
          </w:p>
        </w:tc>
        <w:tc>
          <w:tcPr>
            <w:tcW w:w="0" w:type="auto"/>
            <w:tcBorders>
              <w:top w:val="outset" w:sz="6" w:space="0" w:color="003366"/>
              <w:left w:val="outset" w:sz="6" w:space="0" w:color="003366"/>
              <w:bottom w:val="outset" w:sz="6" w:space="0" w:color="003366"/>
              <w:right w:val="outset" w:sz="6" w:space="0" w:color="003366"/>
            </w:tcBorders>
            <w:vAlign w:val="center"/>
          </w:tcPr>
          <w:p w:rsidR="00F77E06" w:rsidRPr="00F77E06" w:rsidRDefault="00F77E06" w:rsidP="00F77E06">
            <w:pPr>
              <w:jc w:val="center"/>
              <w:rPr>
                <w:rFonts w:ascii="Arial" w:hAnsi="Arial" w:cs="Arial"/>
                <w:sz w:val="20"/>
                <w:szCs w:val="20"/>
              </w:rPr>
            </w:pPr>
          </w:p>
        </w:tc>
        <w:tc>
          <w:tcPr>
            <w:tcW w:w="1116" w:type="dxa"/>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rPr>
                <w:rFonts w:ascii="Arial" w:hAnsi="Arial" w:cs="Arial"/>
                <w:sz w:val="20"/>
                <w:szCs w:val="20"/>
              </w:rPr>
            </w:pPr>
            <w:r w:rsidRPr="00F77E06">
              <w:rPr>
                <w:rFonts w:ascii="Arial" w:hAnsi="Arial" w:cs="Arial"/>
                <w:sz w:val="20"/>
                <w:szCs w:val="20"/>
              </w:rPr>
              <w:t> Your paper met the length requirement.</w:t>
            </w:r>
          </w:p>
          <w:p w:rsidR="00F77E06" w:rsidRPr="00F77E06" w:rsidRDefault="00F77E06" w:rsidP="00F77E06">
            <w:pPr>
              <w:rPr>
                <w:rFonts w:ascii="Arial" w:hAnsi="Arial" w:cs="Arial"/>
                <w:sz w:val="20"/>
                <w:szCs w:val="20"/>
              </w:rPr>
            </w:pPr>
          </w:p>
          <w:p w:rsidR="00F77E06" w:rsidRPr="00F77E06" w:rsidRDefault="00F77E06" w:rsidP="00F77E06">
            <w:pPr>
              <w:rPr>
                <w:rFonts w:ascii="Arial" w:hAnsi="Arial" w:cs="Arial"/>
                <w:sz w:val="20"/>
                <w:szCs w:val="20"/>
              </w:rPr>
            </w:pPr>
            <w:r w:rsidRPr="00F77E06">
              <w:rPr>
                <w:rFonts w:ascii="Arial" w:hAnsi="Arial" w:cs="Arial"/>
                <w:sz w:val="20"/>
                <w:szCs w:val="20"/>
              </w:rPr>
              <w:t>Your paper included an introduction and conclusion.</w:t>
            </w:r>
          </w:p>
        </w:tc>
      </w:tr>
      <w:tr w:rsidR="00F77E06" w:rsidRPr="00F77E06" w:rsidTr="00F77E06">
        <w:trPr>
          <w:trHeight w:val="278"/>
          <w:tblCellSpacing w:w="7" w:type="dxa"/>
          <w:jc w:val="center"/>
        </w:trPr>
        <w:tc>
          <w:tcPr>
            <w:tcW w:w="6275"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t xml:space="preserve">Mechanics </w:t>
            </w:r>
          </w:p>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b/>
                <w:bCs/>
                <w:i/>
                <w:iCs/>
                <w:sz w:val="20"/>
                <w:szCs w:val="20"/>
              </w:rPr>
              <w:t>20 Percent</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i/>
                <w:iCs/>
                <w:sz w:val="20"/>
                <w:szCs w:val="20"/>
              </w:rPr>
            </w:pPr>
            <w:r w:rsidRPr="00F77E06">
              <w:rPr>
                <w:rFonts w:ascii="Arial" w:hAnsi="Arial" w:cs="Arial"/>
                <w:i/>
                <w:iCs/>
                <w:sz w:val="20"/>
                <w:szCs w:val="20"/>
              </w:rPr>
              <w:t>Points Available</w:t>
            </w:r>
          </w:p>
          <w:p w:rsidR="00F77E06" w:rsidRPr="00F77E06" w:rsidRDefault="00F77E06" w:rsidP="00F77E06">
            <w:pPr>
              <w:spacing w:before="100" w:beforeAutospacing="1" w:after="100" w:afterAutospacing="1"/>
              <w:jc w:val="center"/>
              <w:rPr>
                <w:rFonts w:ascii="Arial" w:hAnsi="Arial" w:cs="Arial"/>
                <w:i/>
                <w:iCs/>
                <w:sz w:val="20"/>
                <w:szCs w:val="20"/>
              </w:rPr>
            </w:pPr>
            <w:r w:rsidRPr="00F77E06">
              <w:rPr>
                <w:rFonts w:ascii="Arial" w:hAnsi="Arial" w:cs="Arial"/>
                <w:i/>
                <w:iCs/>
                <w:sz w:val="20"/>
                <w:szCs w:val="20"/>
              </w:rPr>
              <w:t>3</w:t>
            </w:r>
          </w:p>
        </w:tc>
        <w:tc>
          <w:tcPr>
            <w:tcW w:w="0" w:type="auto"/>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Points Earned</w:t>
            </w:r>
          </w:p>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i/>
                <w:iCs/>
                <w:sz w:val="20"/>
                <w:szCs w:val="20"/>
              </w:rPr>
              <w:t>3/3</w:t>
            </w:r>
          </w:p>
        </w:tc>
        <w:tc>
          <w:tcPr>
            <w:tcW w:w="1116" w:type="dxa"/>
            <w:tcBorders>
              <w:top w:val="outset" w:sz="6" w:space="0" w:color="003366"/>
              <w:left w:val="outset" w:sz="6" w:space="0" w:color="003366"/>
              <w:bottom w:val="outset" w:sz="6" w:space="0" w:color="003366"/>
              <w:right w:val="outset" w:sz="6" w:space="0" w:color="003366"/>
            </w:tcBorders>
            <w:shd w:val="clear" w:color="auto" w:fill="C0C0C0"/>
            <w:hideMark/>
          </w:tcPr>
          <w:p w:rsidR="00F77E06" w:rsidRPr="00F77E06" w:rsidRDefault="00F77E06" w:rsidP="00F77E06">
            <w:pPr>
              <w:spacing w:before="100" w:beforeAutospacing="1" w:after="100" w:afterAutospacing="1"/>
              <w:rPr>
                <w:rFonts w:ascii="Arial" w:hAnsi="Arial" w:cs="Arial"/>
                <w:sz w:val="20"/>
                <w:szCs w:val="20"/>
              </w:rPr>
            </w:pPr>
            <w:r w:rsidRPr="00F77E06">
              <w:rPr>
                <w:rFonts w:ascii="Arial" w:hAnsi="Arial" w:cs="Arial"/>
                <w:sz w:val="20"/>
                <w:szCs w:val="20"/>
              </w:rPr>
              <w:t>Additional Comments:</w:t>
            </w:r>
          </w:p>
        </w:tc>
      </w:tr>
      <w:tr w:rsidR="00F77E06" w:rsidRPr="00F77E06" w:rsidTr="00F77E06">
        <w:trPr>
          <w:tblCellSpacing w:w="7" w:type="dxa"/>
          <w:jc w:val="center"/>
        </w:trPr>
        <w:tc>
          <w:tcPr>
            <w:tcW w:w="6275"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numPr>
                <w:ilvl w:val="0"/>
                <w:numId w:val="5"/>
              </w:numPr>
              <w:spacing w:after="160" w:line="254" w:lineRule="auto"/>
              <w:rPr>
                <w:rFonts w:ascii="Arial" w:hAnsi="Arial" w:cs="Arial"/>
                <w:sz w:val="20"/>
                <w:szCs w:val="20"/>
              </w:rPr>
            </w:pPr>
            <w:r w:rsidRPr="00F77E06">
              <w:rPr>
                <w:rFonts w:ascii="Arial" w:hAnsi="Arial" w:cs="Arial"/>
                <w:sz w:val="20"/>
                <w:szCs w:val="20"/>
              </w:rPr>
              <w:t>The paper—including the title page, reference page, tables, and any appendixes—is consistent with APA guidelines as directed by the facilitator. The paper is laid out with effective use of headings, font styles, and white space.</w:t>
            </w:r>
          </w:p>
          <w:p w:rsidR="00F77E06" w:rsidRPr="00F77E06" w:rsidRDefault="00F77E06" w:rsidP="00F77E06">
            <w:pPr>
              <w:numPr>
                <w:ilvl w:val="0"/>
                <w:numId w:val="5"/>
              </w:numPr>
              <w:spacing w:after="160" w:line="254" w:lineRule="auto"/>
              <w:rPr>
                <w:rFonts w:ascii="Arial" w:hAnsi="Arial" w:cs="Arial"/>
                <w:sz w:val="20"/>
                <w:szCs w:val="20"/>
              </w:rPr>
            </w:pPr>
            <w:r w:rsidRPr="00F77E06">
              <w:rPr>
                <w:rFonts w:ascii="Arial" w:hAnsi="Arial" w:cs="Arial"/>
                <w:sz w:val="20"/>
                <w:szCs w:val="20"/>
              </w:rPr>
              <w:t>Rules of grammar, usage, and punctuation are followed; spelling is correct.</w:t>
            </w:r>
          </w:p>
        </w:tc>
        <w:tc>
          <w:tcPr>
            <w:tcW w:w="0" w:type="auto"/>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rPr>
                <w:rFonts w:ascii="Arial" w:hAnsi="Arial" w:cs="Arial"/>
                <w:sz w:val="20"/>
                <w:szCs w:val="20"/>
              </w:rPr>
            </w:pPr>
          </w:p>
        </w:tc>
        <w:tc>
          <w:tcPr>
            <w:tcW w:w="0" w:type="auto"/>
            <w:tcBorders>
              <w:top w:val="outset" w:sz="6" w:space="0" w:color="003366"/>
              <w:left w:val="outset" w:sz="6" w:space="0" w:color="003366"/>
              <w:bottom w:val="outset" w:sz="6" w:space="0" w:color="003366"/>
              <w:right w:val="outset" w:sz="6" w:space="0" w:color="003366"/>
            </w:tcBorders>
            <w:vAlign w:val="center"/>
          </w:tcPr>
          <w:p w:rsidR="00F77E06" w:rsidRPr="00F77E06" w:rsidRDefault="00F77E06" w:rsidP="00F77E06">
            <w:pPr>
              <w:jc w:val="center"/>
              <w:rPr>
                <w:rFonts w:ascii="Arial" w:hAnsi="Arial" w:cs="Arial"/>
                <w:sz w:val="20"/>
                <w:szCs w:val="20"/>
              </w:rPr>
            </w:pPr>
          </w:p>
        </w:tc>
        <w:tc>
          <w:tcPr>
            <w:tcW w:w="1116"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rPr>
                <w:rFonts w:ascii="Arial" w:hAnsi="Arial" w:cs="Arial"/>
                <w:sz w:val="20"/>
                <w:szCs w:val="20"/>
              </w:rPr>
            </w:pPr>
            <w:r w:rsidRPr="00F77E06">
              <w:rPr>
                <w:rFonts w:ascii="Arial" w:hAnsi="Arial" w:cs="Arial"/>
                <w:sz w:val="20"/>
                <w:szCs w:val="20"/>
              </w:rPr>
              <w:t> </w:t>
            </w:r>
          </w:p>
        </w:tc>
      </w:tr>
      <w:tr w:rsidR="00F77E06" w:rsidRPr="00F77E06" w:rsidTr="00F77E06">
        <w:trPr>
          <w:trHeight w:val="208"/>
          <w:tblCellSpacing w:w="7" w:type="dxa"/>
          <w:jc w:val="center"/>
        </w:trPr>
        <w:tc>
          <w:tcPr>
            <w:tcW w:w="6275" w:type="dxa"/>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spacing w:before="100" w:beforeAutospacing="1" w:after="100" w:afterAutospacing="1"/>
              <w:rPr>
                <w:rFonts w:ascii="Arial" w:hAnsi="Arial" w:cs="Arial"/>
                <w:sz w:val="20"/>
                <w:szCs w:val="20"/>
              </w:rPr>
            </w:pPr>
          </w:p>
        </w:tc>
        <w:tc>
          <w:tcPr>
            <w:tcW w:w="0" w:type="auto"/>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spacing w:before="100" w:beforeAutospacing="1" w:after="100" w:afterAutospacing="1"/>
              <w:jc w:val="center"/>
              <w:rPr>
                <w:rFonts w:ascii="Arial" w:hAnsi="Arial" w:cs="Arial"/>
                <w:b/>
                <w:bCs/>
                <w:i/>
                <w:iCs/>
                <w:sz w:val="20"/>
                <w:szCs w:val="20"/>
              </w:rPr>
            </w:pPr>
            <w:r w:rsidRPr="00F77E06">
              <w:rPr>
                <w:rFonts w:ascii="Arial" w:hAnsi="Arial" w:cs="Arial"/>
                <w:b/>
                <w:bCs/>
                <w:i/>
                <w:iCs/>
                <w:sz w:val="20"/>
                <w:szCs w:val="20"/>
              </w:rPr>
              <w:t>Total Available</w:t>
            </w:r>
          </w:p>
        </w:tc>
        <w:tc>
          <w:tcPr>
            <w:tcW w:w="0" w:type="auto"/>
            <w:tcBorders>
              <w:top w:val="outset" w:sz="6" w:space="0" w:color="003366"/>
              <w:left w:val="outset" w:sz="6" w:space="0" w:color="003366"/>
              <w:bottom w:val="outset" w:sz="6" w:space="0" w:color="003366"/>
              <w:right w:val="outset" w:sz="6" w:space="0" w:color="003366"/>
            </w:tcBorders>
            <w:shd w:val="clear" w:color="auto" w:fill="00CCFF"/>
            <w:hideMark/>
          </w:tcPr>
          <w:p w:rsidR="00F77E06" w:rsidRPr="00F77E06" w:rsidRDefault="00F77E06" w:rsidP="00F77E06">
            <w:pPr>
              <w:spacing w:before="100" w:beforeAutospacing="1" w:after="100" w:afterAutospacing="1"/>
              <w:jc w:val="center"/>
              <w:rPr>
                <w:rFonts w:ascii="Arial" w:hAnsi="Arial" w:cs="Arial"/>
                <w:sz w:val="20"/>
                <w:szCs w:val="20"/>
              </w:rPr>
            </w:pPr>
            <w:r w:rsidRPr="00F77E06">
              <w:rPr>
                <w:rFonts w:ascii="Arial" w:hAnsi="Arial" w:cs="Arial"/>
                <w:b/>
                <w:bCs/>
                <w:i/>
                <w:iCs/>
                <w:sz w:val="20"/>
                <w:szCs w:val="20"/>
              </w:rPr>
              <w:t>Total Earned</w:t>
            </w:r>
          </w:p>
        </w:tc>
        <w:tc>
          <w:tcPr>
            <w:tcW w:w="1116" w:type="dxa"/>
            <w:tcBorders>
              <w:top w:val="outset" w:sz="6" w:space="0" w:color="003366"/>
              <w:left w:val="outset" w:sz="6" w:space="0" w:color="003366"/>
              <w:bottom w:val="outset" w:sz="6" w:space="0" w:color="003366"/>
              <w:right w:val="outset" w:sz="6" w:space="0" w:color="003366"/>
            </w:tcBorders>
          </w:tcPr>
          <w:p w:rsidR="00F77E06" w:rsidRPr="00F77E06" w:rsidRDefault="00F77E06" w:rsidP="00F77E06">
            <w:pPr>
              <w:spacing w:before="100" w:beforeAutospacing="1" w:after="100" w:afterAutospacing="1"/>
              <w:rPr>
                <w:rFonts w:ascii="Arial" w:hAnsi="Arial" w:cs="Arial"/>
                <w:sz w:val="20"/>
                <w:szCs w:val="20"/>
              </w:rPr>
            </w:pPr>
          </w:p>
        </w:tc>
      </w:tr>
      <w:tr w:rsidR="00F77E06" w:rsidRPr="00F77E06" w:rsidTr="00F77E06">
        <w:trPr>
          <w:trHeight w:val="185"/>
          <w:tblCellSpacing w:w="7" w:type="dxa"/>
          <w:jc w:val="center"/>
        </w:trPr>
        <w:tc>
          <w:tcPr>
            <w:tcW w:w="6275"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rPr>
                <w:rFonts w:ascii="Arial" w:hAnsi="Arial" w:cs="Arial"/>
                <w:sz w:val="20"/>
                <w:szCs w:val="20"/>
              </w:rPr>
            </w:pPr>
            <w:r w:rsidRPr="00F77E06">
              <w:rPr>
                <w:rFonts w:ascii="Arial" w:hAnsi="Arial" w:cs="Arial"/>
                <w:sz w:val="20"/>
                <w:szCs w:val="20"/>
              </w:rPr>
              <w:t> </w:t>
            </w:r>
          </w:p>
        </w:tc>
        <w:tc>
          <w:tcPr>
            <w:tcW w:w="0" w:type="auto"/>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jc w:val="center"/>
              <w:rPr>
                <w:rFonts w:ascii="Arial" w:hAnsi="Arial" w:cs="Arial"/>
                <w:sz w:val="20"/>
                <w:szCs w:val="20"/>
              </w:rPr>
            </w:pPr>
            <w:r w:rsidRPr="00F77E06">
              <w:rPr>
                <w:rFonts w:ascii="Arial" w:hAnsi="Arial" w:cs="Arial"/>
                <w:sz w:val="20"/>
                <w:szCs w:val="20"/>
              </w:rPr>
              <w:t>15</w:t>
            </w:r>
          </w:p>
        </w:tc>
        <w:tc>
          <w:tcPr>
            <w:tcW w:w="0" w:type="auto"/>
            <w:tcBorders>
              <w:top w:val="outset" w:sz="6" w:space="0" w:color="003366"/>
              <w:left w:val="outset" w:sz="6" w:space="0" w:color="003366"/>
              <w:bottom w:val="outset" w:sz="6" w:space="0" w:color="003366"/>
              <w:right w:val="outset" w:sz="6" w:space="0" w:color="003366"/>
            </w:tcBorders>
            <w:shd w:val="clear" w:color="auto" w:fill="00CCFF"/>
            <w:hideMark/>
          </w:tcPr>
          <w:p w:rsidR="00F77E06" w:rsidRPr="00F77E06" w:rsidRDefault="00F77E06" w:rsidP="00F77E06">
            <w:pPr>
              <w:jc w:val="center"/>
              <w:rPr>
                <w:rFonts w:ascii="Arial" w:hAnsi="Arial" w:cs="Arial"/>
                <w:sz w:val="20"/>
                <w:szCs w:val="20"/>
              </w:rPr>
            </w:pPr>
            <w:r>
              <w:rPr>
                <w:rFonts w:ascii="Arial" w:hAnsi="Arial" w:cs="Arial"/>
                <w:sz w:val="20"/>
                <w:szCs w:val="20"/>
              </w:rPr>
              <w:t>13.5</w:t>
            </w:r>
          </w:p>
        </w:tc>
        <w:tc>
          <w:tcPr>
            <w:tcW w:w="1116" w:type="dxa"/>
            <w:tcBorders>
              <w:top w:val="outset" w:sz="6" w:space="0" w:color="003366"/>
              <w:left w:val="outset" w:sz="6" w:space="0" w:color="003366"/>
              <w:bottom w:val="outset" w:sz="6" w:space="0" w:color="003366"/>
              <w:right w:val="outset" w:sz="6" w:space="0" w:color="003366"/>
            </w:tcBorders>
            <w:hideMark/>
          </w:tcPr>
          <w:p w:rsidR="00F77E06" w:rsidRPr="00F77E06" w:rsidRDefault="00F77E06" w:rsidP="00F77E06">
            <w:pPr>
              <w:rPr>
                <w:rFonts w:ascii="Arial" w:hAnsi="Arial" w:cs="Arial"/>
                <w:sz w:val="20"/>
                <w:szCs w:val="20"/>
              </w:rPr>
            </w:pPr>
            <w:r w:rsidRPr="00F77E06">
              <w:rPr>
                <w:rFonts w:ascii="Arial" w:hAnsi="Arial" w:cs="Arial"/>
                <w:sz w:val="20"/>
                <w:szCs w:val="20"/>
              </w:rPr>
              <w:t> </w:t>
            </w:r>
            <w:r>
              <w:rPr>
                <w:rFonts w:ascii="Arial" w:hAnsi="Arial" w:cs="Arial"/>
                <w:sz w:val="20"/>
                <w:szCs w:val="20"/>
              </w:rPr>
              <w:t>(15-10% late penalty)</w:t>
            </w:r>
            <w:bookmarkStart w:id="0" w:name="_GoBack"/>
            <w:bookmarkEnd w:id="0"/>
          </w:p>
        </w:tc>
      </w:tr>
    </w:tbl>
    <w:p w:rsidR="00F77E06" w:rsidRPr="00F77E06" w:rsidRDefault="00F77E06" w:rsidP="00F77E06">
      <w:pPr>
        <w:tabs>
          <w:tab w:val="right" w:leader="dot" w:pos="8640"/>
        </w:tabs>
        <w:snapToGrid w:val="0"/>
        <w:spacing w:before="60" w:after="60"/>
        <w:ind w:left="360"/>
        <w:outlineLvl w:val="1"/>
        <w:rPr>
          <w:rFonts w:ascii="Arial" w:hAnsi="Arial"/>
          <w:sz w:val="20"/>
          <w:szCs w:val="20"/>
        </w:rPr>
      </w:pPr>
    </w:p>
    <w:p w:rsidR="002D7276" w:rsidRPr="00F41944" w:rsidRDefault="002D7276" w:rsidP="006E2E2E">
      <w:pPr>
        <w:spacing w:line="480" w:lineRule="auto"/>
        <w:ind w:left="720" w:hanging="720"/>
      </w:pPr>
    </w:p>
    <w:p w:rsidR="007B74EC" w:rsidRDefault="003A08D7" w:rsidP="006E2E2E">
      <w:pPr>
        <w:spacing w:line="480" w:lineRule="auto"/>
      </w:pPr>
      <w:r>
        <w:t xml:space="preserve"> </w:t>
      </w:r>
    </w:p>
    <w:sectPr w:rsidR="007B74EC" w:rsidSect="002D5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725AF"/>
    <w:multiLevelType w:val="hybridMultilevel"/>
    <w:tmpl w:val="D6A899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79C1160"/>
    <w:multiLevelType w:val="multilevel"/>
    <w:tmpl w:val="9B4425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4E02687C"/>
    <w:multiLevelType w:val="multilevel"/>
    <w:tmpl w:val="58D6A5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nsid w:val="6C8450FD"/>
    <w:multiLevelType w:val="multilevel"/>
    <w:tmpl w:val="8572D674"/>
    <w:lvl w:ilvl="0">
      <w:start w:val="1"/>
      <w:numFmt w:val="none"/>
      <w:pStyle w:val="UPhxNumberingHeading"/>
      <w:suff w:val="nothing"/>
      <w:lvlText w:val="%1"/>
      <w:lvlJc w:val="left"/>
      <w:pPr>
        <w:ind w:left="360" w:hanging="360"/>
      </w:pPr>
      <w:rPr>
        <w:rFonts w:hint="default"/>
      </w:rPr>
    </w:lvl>
    <w:lvl w:ilvl="1">
      <w:start w:val="1"/>
      <w:numFmt w:val="decimal"/>
      <w:pStyle w:val="UPhxNumberedList1"/>
      <w:lvlText w:val="%2."/>
      <w:lvlJc w:val="left"/>
      <w:pPr>
        <w:tabs>
          <w:tab w:val="num" w:pos="360"/>
        </w:tabs>
        <w:ind w:left="360" w:hanging="360"/>
      </w:pPr>
      <w:rPr>
        <w:rFonts w:hint="default"/>
      </w:rPr>
    </w:lvl>
    <w:lvl w:ilvl="2">
      <w:start w:val="1"/>
      <w:numFmt w:val="lowerLetter"/>
      <w:pStyle w:val="UPhxNumberedList2"/>
      <w:lvlText w:val="%3."/>
      <w:lvlJc w:val="left"/>
      <w:pPr>
        <w:tabs>
          <w:tab w:val="num" w:pos="720"/>
        </w:tabs>
        <w:ind w:left="720" w:hanging="360"/>
      </w:pPr>
      <w:rPr>
        <w:rFonts w:hint="default"/>
      </w:rPr>
    </w:lvl>
    <w:lvl w:ilvl="3">
      <w:start w:val="1"/>
      <w:numFmt w:val="decimal"/>
      <w:pStyle w:val="UPhxNumberedList3"/>
      <w:lvlText w:val="%4)"/>
      <w:lvlJc w:val="left"/>
      <w:pPr>
        <w:tabs>
          <w:tab w:val="num" w:pos="1080"/>
        </w:tabs>
        <w:ind w:left="1080" w:hanging="360"/>
      </w:pPr>
      <w:rPr>
        <w:rFonts w:hint="default"/>
      </w:rPr>
    </w:lvl>
    <w:lvl w:ilvl="4">
      <w:start w:val="1"/>
      <w:numFmt w:val="lowerLetter"/>
      <w:pStyle w:val="UPhxNumberedList4"/>
      <w:lvlText w:val="%5)"/>
      <w:lvlJc w:val="left"/>
      <w:pPr>
        <w:tabs>
          <w:tab w:val="num" w:pos="1440"/>
        </w:tabs>
        <w:ind w:left="1440" w:hanging="360"/>
      </w:pPr>
      <w:rPr>
        <w:rFonts w:hint="default"/>
      </w:rPr>
    </w:lvl>
    <w:lvl w:ilvl="5">
      <w:start w:val="1"/>
      <w:numFmt w:val="decimal"/>
      <w:pStyle w:val="UPhxNumberedList5"/>
      <w:lvlText w:val="(%6)"/>
      <w:lvlJc w:val="left"/>
      <w:pPr>
        <w:tabs>
          <w:tab w:val="num" w:pos="2160"/>
        </w:tabs>
        <w:ind w:left="1800" w:hanging="360"/>
      </w:pPr>
      <w:rPr>
        <w:rFonts w:hint="default"/>
      </w:rPr>
    </w:lvl>
    <w:lvl w:ilvl="6">
      <w:start w:val="1"/>
      <w:numFmt w:val="lowerLetter"/>
      <w:pStyle w:val="UPhxNumberedList6"/>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CE"/>
    <w:rsid w:val="000013D1"/>
    <w:rsid w:val="0000710C"/>
    <w:rsid w:val="00022027"/>
    <w:rsid w:val="00023846"/>
    <w:rsid w:val="00060BCA"/>
    <w:rsid w:val="00073BBC"/>
    <w:rsid w:val="00130107"/>
    <w:rsid w:val="00155434"/>
    <w:rsid w:val="00186DA9"/>
    <w:rsid w:val="0019251B"/>
    <w:rsid w:val="001E06DB"/>
    <w:rsid w:val="001F227A"/>
    <w:rsid w:val="00205FEE"/>
    <w:rsid w:val="00255E31"/>
    <w:rsid w:val="0027536F"/>
    <w:rsid w:val="0029304B"/>
    <w:rsid w:val="002D5CB3"/>
    <w:rsid w:val="002D7276"/>
    <w:rsid w:val="003157B3"/>
    <w:rsid w:val="00337ABB"/>
    <w:rsid w:val="00357E9D"/>
    <w:rsid w:val="0036122F"/>
    <w:rsid w:val="0038001F"/>
    <w:rsid w:val="003A08D7"/>
    <w:rsid w:val="003E2012"/>
    <w:rsid w:val="003E2872"/>
    <w:rsid w:val="00416364"/>
    <w:rsid w:val="00434D39"/>
    <w:rsid w:val="00496699"/>
    <w:rsid w:val="00497705"/>
    <w:rsid w:val="004A6DDE"/>
    <w:rsid w:val="004F2C67"/>
    <w:rsid w:val="0051208B"/>
    <w:rsid w:val="00537C31"/>
    <w:rsid w:val="0054421E"/>
    <w:rsid w:val="00580CE1"/>
    <w:rsid w:val="0059498B"/>
    <w:rsid w:val="0059574D"/>
    <w:rsid w:val="005A33C5"/>
    <w:rsid w:val="005B710C"/>
    <w:rsid w:val="005E0C94"/>
    <w:rsid w:val="006042B9"/>
    <w:rsid w:val="00611346"/>
    <w:rsid w:val="00646314"/>
    <w:rsid w:val="006752E6"/>
    <w:rsid w:val="0068645D"/>
    <w:rsid w:val="006E2E2E"/>
    <w:rsid w:val="00716200"/>
    <w:rsid w:val="00742D11"/>
    <w:rsid w:val="0074720F"/>
    <w:rsid w:val="00750902"/>
    <w:rsid w:val="00751ECD"/>
    <w:rsid w:val="007A29F3"/>
    <w:rsid w:val="007B74EC"/>
    <w:rsid w:val="007F2C49"/>
    <w:rsid w:val="007F69BE"/>
    <w:rsid w:val="00804EBD"/>
    <w:rsid w:val="00825CB1"/>
    <w:rsid w:val="008505D0"/>
    <w:rsid w:val="00861A88"/>
    <w:rsid w:val="008628EE"/>
    <w:rsid w:val="00866D3F"/>
    <w:rsid w:val="0088488C"/>
    <w:rsid w:val="008B1F30"/>
    <w:rsid w:val="008B556F"/>
    <w:rsid w:val="008E0364"/>
    <w:rsid w:val="0090321F"/>
    <w:rsid w:val="00906893"/>
    <w:rsid w:val="009103C8"/>
    <w:rsid w:val="009459F6"/>
    <w:rsid w:val="009A0D9A"/>
    <w:rsid w:val="009B6B08"/>
    <w:rsid w:val="009D3C6D"/>
    <w:rsid w:val="00A067C8"/>
    <w:rsid w:val="00A92BA7"/>
    <w:rsid w:val="00A949C0"/>
    <w:rsid w:val="00AC5830"/>
    <w:rsid w:val="00AD63C1"/>
    <w:rsid w:val="00B23FCE"/>
    <w:rsid w:val="00B84F8D"/>
    <w:rsid w:val="00BA3438"/>
    <w:rsid w:val="00BD2E77"/>
    <w:rsid w:val="00C01955"/>
    <w:rsid w:val="00C45EAE"/>
    <w:rsid w:val="00C65476"/>
    <w:rsid w:val="00CB2D5B"/>
    <w:rsid w:val="00CB396A"/>
    <w:rsid w:val="00CE4E92"/>
    <w:rsid w:val="00D114AF"/>
    <w:rsid w:val="00D1633A"/>
    <w:rsid w:val="00D16FDB"/>
    <w:rsid w:val="00D8052C"/>
    <w:rsid w:val="00D82435"/>
    <w:rsid w:val="00DA2510"/>
    <w:rsid w:val="00DE6CD0"/>
    <w:rsid w:val="00E72655"/>
    <w:rsid w:val="00EA00AD"/>
    <w:rsid w:val="00F00279"/>
    <w:rsid w:val="00F257B0"/>
    <w:rsid w:val="00F41944"/>
    <w:rsid w:val="00F41DDA"/>
    <w:rsid w:val="00F440D5"/>
    <w:rsid w:val="00F44D31"/>
    <w:rsid w:val="00F56813"/>
    <w:rsid w:val="00F77E06"/>
    <w:rsid w:val="00F819CA"/>
    <w:rsid w:val="00FF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 Numbering Heading"/>
    <w:rsid w:val="00B23FCE"/>
    <w:pPr>
      <w:numPr>
        <w:numId w:val="1"/>
      </w:numPr>
      <w:tabs>
        <w:tab w:val="left" w:pos="360"/>
      </w:tabs>
      <w:spacing w:before="180" w:after="0" w:line="240" w:lineRule="auto"/>
      <w:outlineLvl w:val="0"/>
    </w:pPr>
    <w:rPr>
      <w:rFonts w:ascii="Arial" w:eastAsia="Times New Roman" w:hAnsi="Arial" w:cs="Times New Roman"/>
      <w:b/>
      <w:sz w:val="18"/>
      <w:szCs w:val="20"/>
    </w:rPr>
  </w:style>
  <w:style w:type="paragraph" w:customStyle="1" w:styleId="UPhxNumberedList1">
    <w:name w:val="UPhx Numbered List 1"/>
    <w:basedOn w:val="UPhxNumberingHeading"/>
    <w:rsid w:val="00B23FCE"/>
    <w:pPr>
      <w:numPr>
        <w:ilvl w:val="1"/>
      </w:numPr>
      <w:spacing w:before="60" w:after="60"/>
    </w:pPr>
    <w:rPr>
      <w:b w:val="0"/>
      <w:sz w:val="20"/>
    </w:rPr>
  </w:style>
  <w:style w:type="paragraph" w:customStyle="1" w:styleId="UPhxNumberedList2">
    <w:name w:val="UPhx Numbered List 2"/>
    <w:basedOn w:val="UPhxNumberedList1"/>
    <w:rsid w:val="00B23FCE"/>
    <w:pPr>
      <w:numPr>
        <w:ilvl w:val="2"/>
      </w:numPr>
      <w:tabs>
        <w:tab w:val="clear" w:pos="720"/>
        <w:tab w:val="num" w:pos="360"/>
      </w:tabs>
    </w:pPr>
  </w:style>
  <w:style w:type="paragraph" w:customStyle="1" w:styleId="UPhxNumberedList3">
    <w:name w:val="UPhx Numbered List 3"/>
    <w:basedOn w:val="UPhxNumberedList1"/>
    <w:rsid w:val="00B23FCE"/>
    <w:pPr>
      <w:numPr>
        <w:ilvl w:val="3"/>
      </w:numPr>
      <w:tabs>
        <w:tab w:val="clear" w:pos="1080"/>
        <w:tab w:val="num" w:pos="360"/>
      </w:tabs>
    </w:pPr>
  </w:style>
  <w:style w:type="paragraph" w:customStyle="1" w:styleId="UPhxNumberedList4">
    <w:name w:val="UPhx Numbered List 4"/>
    <w:basedOn w:val="UPhxNumberedList1"/>
    <w:rsid w:val="00B23FCE"/>
    <w:pPr>
      <w:numPr>
        <w:ilvl w:val="4"/>
      </w:numPr>
    </w:pPr>
  </w:style>
  <w:style w:type="paragraph" w:customStyle="1" w:styleId="UPhxNumberedList5">
    <w:name w:val="UPhx Numbered List 5"/>
    <w:basedOn w:val="UPhxNumberedList1"/>
    <w:rsid w:val="00B23FCE"/>
    <w:pPr>
      <w:numPr>
        <w:ilvl w:val="5"/>
      </w:numPr>
      <w:tabs>
        <w:tab w:val="clear" w:pos="2160"/>
        <w:tab w:val="num" w:pos="360"/>
        <w:tab w:val="left" w:pos="1800"/>
      </w:tabs>
    </w:pPr>
  </w:style>
  <w:style w:type="paragraph" w:customStyle="1" w:styleId="UPhxNumberedList6">
    <w:name w:val="UPhx Numbered List 6"/>
    <w:basedOn w:val="UPhxNumberedList1"/>
    <w:rsid w:val="00B23FCE"/>
    <w:pPr>
      <w:numPr>
        <w:ilvl w:val="6"/>
      </w:numPr>
      <w:tabs>
        <w:tab w:val="clear" w:pos="2520"/>
        <w:tab w:val="num" w:pos="360"/>
        <w:tab w:val="left" w:pos="2160"/>
      </w:tabs>
    </w:pPr>
  </w:style>
  <w:style w:type="character" w:styleId="Emphasis">
    <w:name w:val="Emphasis"/>
    <w:basedOn w:val="DefaultParagraphFont"/>
    <w:uiPriority w:val="20"/>
    <w:qFormat/>
    <w:rsid w:val="002D7276"/>
    <w:rPr>
      <w:i/>
      <w:iCs/>
    </w:rPr>
  </w:style>
  <w:style w:type="character" w:customStyle="1" w:styleId="apple-converted-space">
    <w:name w:val="apple-converted-space"/>
    <w:basedOn w:val="DefaultParagraphFont"/>
    <w:rsid w:val="002D7276"/>
  </w:style>
  <w:style w:type="character" w:styleId="Hyperlink">
    <w:name w:val="Hyperlink"/>
    <w:basedOn w:val="DefaultParagraphFont"/>
    <w:uiPriority w:val="99"/>
    <w:unhideWhenUsed/>
    <w:rsid w:val="00FF61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F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PhxNumberingHeading">
    <w:name w:val="UPhx Numbering Heading"/>
    <w:rsid w:val="00B23FCE"/>
    <w:pPr>
      <w:numPr>
        <w:numId w:val="1"/>
      </w:numPr>
      <w:tabs>
        <w:tab w:val="left" w:pos="360"/>
      </w:tabs>
      <w:spacing w:before="180" w:after="0" w:line="240" w:lineRule="auto"/>
      <w:outlineLvl w:val="0"/>
    </w:pPr>
    <w:rPr>
      <w:rFonts w:ascii="Arial" w:eastAsia="Times New Roman" w:hAnsi="Arial" w:cs="Times New Roman"/>
      <w:b/>
      <w:sz w:val="18"/>
      <w:szCs w:val="20"/>
    </w:rPr>
  </w:style>
  <w:style w:type="paragraph" w:customStyle="1" w:styleId="UPhxNumberedList1">
    <w:name w:val="UPhx Numbered List 1"/>
    <w:basedOn w:val="UPhxNumberingHeading"/>
    <w:rsid w:val="00B23FCE"/>
    <w:pPr>
      <w:numPr>
        <w:ilvl w:val="1"/>
      </w:numPr>
      <w:spacing w:before="60" w:after="60"/>
    </w:pPr>
    <w:rPr>
      <w:b w:val="0"/>
      <w:sz w:val="20"/>
    </w:rPr>
  </w:style>
  <w:style w:type="paragraph" w:customStyle="1" w:styleId="UPhxNumberedList2">
    <w:name w:val="UPhx Numbered List 2"/>
    <w:basedOn w:val="UPhxNumberedList1"/>
    <w:rsid w:val="00B23FCE"/>
    <w:pPr>
      <w:numPr>
        <w:ilvl w:val="2"/>
      </w:numPr>
      <w:tabs>
        <w:tab w:val="clear" w:pos="720"/>
        <w:tab w:val="num" w:pos="360"/>
      </w:tabs>
    </w:pPr>
  </w:style>
  <w:style w:type="paragraph" w:customStyle="1" w:styleId="UPhxNumberedList3">
    <w:name w:val="UPhx Numbered List 3"/>
    <w:basedOn w:val="UPhxNumberedList1"/>
    <w:rsid w:val="00B23FCE"/>
    <w:pPr>
      <w:numPr>
        <w:ilvl w:val="3"/>
      </w:numPr>
      <w:tabs>
        <w:tab w:val="clear" w:pos="1080"/>
        <w:tab w:val="num" w:pos="360"/>
      </w:tabs>
    </w:pPr>
  </w:style>
  <w:style w:type="paragraph" w:customStyle="1" w:styleId="UPhxNumberedList4">
    <w:name w:val="UPhx Numbered List 4"/>
    <w:basedOn w:val="UPhxNumberedList1"/>
    <w:rsid w:val="00B23FCE"/>
    <w:pPr>
      <w:numPr>
        <w:ilvl w:val="4"/>
      </w:numPr>
    </w:pPr>
  </w:style>
  <w:style w:type="paragraph" w:customStyle="1" w:styleId="UPhxNumberedList5">
    <w:name w:val="UPhx Numbered List 5"/>
    <w:basedOn w:val="UPhxNumberedList1"/>
    <w:rsid w:val="00B23FCE"/>
    <w:pPr>
      <w:numPr>
        <w:ilvl w:val="5"/>
      </w:numPr>
      <w:tabs>
        <w:tab w:val="clear" w:pos="2160"/>
        <w:tab w:val="num" w:pos="360"/>
        <w:tab w:val="left" w:pos="1800"/>
      </w:tabs>
    </w:pPr>
  </w:style>
  <w:style w:type="paragraph" w:customStyle="1" w:styleId="UPhxNumberedList6">
    <w:name w:val="UPhx Numbered List 6"/>
    <w:basedOn w:val="UPhxNumberedList1"/>
    <w:rsid w:val="00B23FCE"/>
    <w:pPr>
      <w:numPr>
        <w:ilvl w:val="6"/>
      </w:numPr>
      <w:tabs>
        <w:tab w:val="clear" w:pos="2520"/>
        <w:tab w:val="num" w:pos="360"/>
        <w:tab w:val="left" w:pos="2160"/>
      </w:tabs>
    </w:pPr>
  </w:style>
  <w:style w:type="character" w:styleId="Emphasis">
    <w:name w:val="Emphasis"/>
    <w:basedOn w:val="DefaultParagraphFont"/>
    <w:uiPriority w:val="20"/>
    <w:qFormat/>
    <w:rsid w:val="002D7276"/>
    <w:rPr>
      <w:i/>
      <w:iCs/>
    </w:rPr>
  </w:style>
  <w:style w:type="character" w:customStyle="1" w:styleId="apple-converted-space">
    <w:name w:val="apple-converted-space"/>
    <w:basedOn w:val="DefaultParagraphFont"/>
    <w:rsid w:val="002D7276"/>
  </w:style>
  <w:style w:type="character" w:styleId="Hyperlink">
    <w:name w:val="Hyperlink"/>
    <w:basedOn w:val="DefaultParagraphFont"/>
    <w:uiPriority w:val="99"/>
    <w:unhideWhenUsed/>
    <w:rsid w:val="00FF61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5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sa.gov/policy/docs/ssb/v43n11/v43n11p20.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2228</Words>
  <Characters>11543</Characters>
  <Application>Microsoft Office Word</Application>
  <DocSecurity>0</DocSecurity>
  <Lines>177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ChandreyeeTLPJ</dc:creator>
  <cp:lastModifiedBy>Alexander</cp:lastModifiedBy>
  <cp:revision>2</cp:revision>
  <dcterms:created xsi:type="dcterms:W3CDTF">2014-11-26T13:44:00Z</dcterms:created>
  <dcterms:modified xsi:type="dcterms:W3CDTF">2014-11-26T13:44:00Z</dcterms:modified>
</cp:coreProperties>
</file>